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21" w:rsidRDefault="00A30021" w:rsidP="00A30021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D54A29">
        <w:rPr>
          <w:b/>
          <w:sz w:val="28"/>
          <w:szCs w:val="28"/>
        </w:rPr>
        <w:t>Анализ урока, ориентированного на формирование УУД</w:t>
      </w:r>
    </w:p>
    <w:p w:rsidR="00DF42DC" w:rsidRPr="00A30021" w:rsidRDefault="00DF42DC" w:rsidP="00A30021">
      <w:pPr>
        <w:ind w:left="360"/>
        <w:jc w:val="center"/>
        <w:rPr>
          <w:b/>
          <w:sz w:val="28"/>
        </w:rPr>
      </w:pPr>
    </w:p>
    <w:tbl>
      <w:tblPr>
        <w:tblW w:w="14929" w:type="dxa"/>
        <w:jc w:val="center"/>
        <w:tblInd w:w="-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1"/>
        <w:gridCol w:w="11057"/>
        <w:gridCol w:w="1271"/>
      </w:tblGrid>
      <w:tr w:rsidR="00A30021" w:rsidRPr="00A30021" w:rsidTr="00A30021">
        <w:trPr>
          <w:cantSplit/>
          <w:trHeight w:val="460"/>
          <w:jc w:val="center"/>
        </w:trPr>
        <w:tc>
          <w:tcPr>
            <w:tcW w:w="2601" w:type="dxa"/>
            <w:vMerge w:val="restart"/>
          </w:tcPr>
          <w:p w:rsidR="00A30021" w:rsidRPr="00A30021" w:rsidRDefault="00A30021" w:rsidP="00221787">
            <w:pPr>
              <w:pStyle w:val="1"/>
              <w:widowControl/>
              <w:jc w:val="center"/>
              <w:rPr>
                <w:b/>
                <w:sz w:val="28"/>
              </w:rPr>
            </w:pPr>
            <w:r w:rsidRPr="00A30021">
              <w:rPr>
                <w:b/>
                <w:sz w:val="28"/>
              </w:rPr>
              <w:t>Этапы урока</w:t>
            </w:r>
          </w:p>
        </w:tc>
        <w:tc>
          <w:tcPr>
            <w:tcW w:w="11057" w:type="dxa"/>
            <w:vMerge w:val="restart"/>
          </w:tcPr>
          <w:p w:rsidR="00A30021" w:rsidRPr="00A30021" w:rsidRDefault="00A30021" w:rsidP="00A30021">
            <w:pPr>
              <w:pStyle w:val="1"/>
              <w:widowControl/>
              <w:rPr>
                <w:b/>
                <w:sz w:val="28"/>
              </w:rPr>
            </w:pPr>
            <w:r w:rsidRPr="00A30021">
              <w:rPr>
                <w:b/>
                <w:sz w:val="28"/>
              </w:rPr>
              <w:t>Критерии оценки эффективности урока</w:t>
            </w:r>
          </w:p>
        </w:tc>
        <w:tc>
          <w:tcPr>
            <w:tcW w:w="1271" w:type="dxa"/>
            <w:vMerge w:val="restart"/>
          </w:tcPr>
          <w:p w:rsidR="00A30021" w:rsidRPr="00A30021" w:rsidRDefault="00A30021" w:rsidP="00221787">
            <w:pPr>
              <w:pStyle w:val="1"/>
              <w:widowControl/>
              <w:rPr>
                <w:b/>
                <w:sz w:val="28"/>
              </w:rPr>
            </w:pPr>
            <w:r w:rsidRPr="00A30021">
              <w:rPr>
                <w:b/>
                <w:sz w:val="28"/>
              </w:rPr>
              <w:t xml:space="preserve">Оценка </w:t>
            </w:r>
          </w:p>
        </w:tc>
      </w:tr>
      <w:tr w:rsidR="00A30021" w:rsidTr="00A30021">
        <w:trPr>
          <w:cantSplit/>
          <w:trHeight w:val="322"/>
          <w:jc w:val="center"/>
        </w:trPr>
        <w:tc>
          <w:tcPr>
            <w:tcW w:w="2601" w:type="dxa"/>
            <w:vMerge/>
          </w:tcPr>
          <w:p w:rsidR="00A30021" w:rsidRDefault="00A30021" w:rsidP="00221787">
            <w:pPr>
              <w:pStyle w:val="1"/>
              <w:widowControl/>
              <w:rPr>
                <w:sz w:val="28"/>
              </w:rPr>
            </w:pPr>
          </w:p>
        </w:tc>
        <w:tc>
          <w:tcPr>
            <w:tcW w:w="11057" w:type="dxa"/>
            <w:vMerge/>
          </w:tcPr>
          <w:p w:rsidR="00A30021" w:rsidRDefault="00A30021" w:rsidP="00221787">
            <w:pPr>
              <w:pStyle w:val="1"/>
              <w:widowControl/>
              <w:rPr>
                <w:sz w:val="28"/>
              </w:rPr>
            </w:pPr>
          </w:p>
        </w:tc>
        <w:tc>
          <w:tcPr>
            <w:tcW w:w="1271" w:type="dxa"/>
            <w:vMerge/>
          </w:tcPr>
          <w:p w:rsidR="00A30021" w:rsidRDefault="00A30021" w:rsidP="00221787">
            <w:pPr>
              <w:pStyle w:val="1"/>
              <w:widowControl/>
              <w:rPr>
                <w:sz w:val="28"/>
              </w:rPr>
            </w:pPr>
          </w:p>
        </w:tc>
      </w:tr>
      <w:tr w:rsidR="00A30021" w:rsidTr="00A30021">
        <w:trPr>
          <w:trHeight w:val="1983"/>
          <w:jc w:val="center"/>
        </w:trPr>
        <w:tc>
          <w:tcPr>
            <w:tcW w:w="2601" w:type="dxa"/>
          </w:tcPr>
          <w:p w:rsidR="00A30021" w:rsidRPr="0021189E" w:rsidRDefault="00A30021" w:rsidP="00221787">
            <w:pPr>
              <w:pStyle w:val="1"/>
              <w:widowControl/>
              <w:rPr>
                <w:b/>
                <w:sz w:val="28"/>
              </w:rPr>
            </w:pPr>
            <w:r w:rsidRPr="0021189E">
              <w:rPr>
                <w:b/>
                <w:sz w:val="28"/>
              </w:rPr>
              <w:t>1.Этап актуализации</w:t>
            </w:r>
          </w:p>
        </w:tc>
        <w:tc>
          <w:tcPr>
            <w:tcW w:w="11057" w:type="dxa"/>
          </w:tcPr>
          <w:p w:rsidR="00A30021" w:rsidRDefault="00A30021" w:rsidP="00A30021">
            <w:pPr>
              <w:pStyle w:val="1"/>
              <w:widowControl/>
              <w:numPr>
                <w:ilvl w:val="0"/>
                <w:numId w:val="3"/>
              </w:numPr>
              <w:ind w:left="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обращение к индивидуальному опыту обучающихся, связанному с темой урока (</w:t>
            </w:r>
            <w:proofErr w:type="spellStart"/>
            <w:r>
              <w:rPr>
                <w:sz w:val="28"/>
              </w:rPr>
              <w:t>ЗУНы</w:t>
            </w:r>
            <w:proofErr w:type="spellEnd"/>
            <w:r>
              <w:rPr>
                <w:sz w:val="28"/>
              </w:rPr>
              <w:t xml:space="preserve"> по данному предмету, знания и умения из других предметных областей, обобщенные способы деятельности, личный жизненный опыт);</w:t>
            </w:r>
            <w:proofErr w:type="gramEnd"/>
          </w:p>
          <w:p w:rsidR="00A30021" w:rsidRDefault="00A30021" w:rsidP="00A30021">
            <w:pPr>
              <w:pStyle w:val="1"/>
              <w:widowControl/>
              <w:numPr>
                <w:ilvl w:val="0"/>
                <w:numId w:val="3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оригинальность используемых педагогом приемов актуализации;</w:t>
            </w:r>
          </w:p>
          <w:p w:rsidR="00A30021" w:rsidRDefault="00A30021" w:rsidP="00A30021">
            <w:pPr>
              <w:pStyle w:val="1"/>
              <w:numPr>
                <w:ilvl w:val="0"/>
                <w:numId w:val="3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активность ученической позиции (связана с формой организации деятельности: фронтальная + индивидуальный опрос, коллективная дискуссия, работа в малых группах и т.п.).</w:t>
            </w:r>
          </w:p>
        </w:tc>
        <w:tc>
          <w:tcPr>
            <w:tcW w:w="1271" w:type="dxa"/>
          </w:tcPr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10бал.</w:t>
            </w:r>
          </w:p>
        </w:tc>
      </w:tr>
      <w:tr w:rsidR="00A30021" w:rsidTr="00A30021">
        <w:trPr>
          <w:trHeight w:val="1364"/>
          <w:jc w:val="center"/>
        </w:trPr>
        <w:tc>
          <w:tcPr>
            <w:tcW w:w="2601" w:type="dxa"/>
          </w:tcPr>
          <w:p w:rsidR="00A30021" w:rsidRPr="0021189E" w:rsidRDefault="00A30021" w:rsidP="00A30021">
            <w:pPr>
              <w:pStyle w:val="1"/>
              <w:numPr>
                <w:ilvl w:val="0"/>
                <w:numId w:val="1"/>
              </w:numPr>
              <w:ind w:left="0" w:firstLine="0"/>
              <w:rPr>
                <w:b/>
                <w:sz w:val="28"/>
              </w:rPr>
            </w:pPr>
            <w:r w:rsidRPr="0021189E">
              <w:rPr>
                <w:b/>
                <w:sz w:val="28"/>
              </w:rPr>
              <w:t xml:space="preserve">Этап </w:t>
            </w:r>
            <w:proofErr w:type="spellStart"/>
            <w:r w:rsidRPr="0021189E">
              <w:rPr>
                <w:b/>
                <w:sz w:val="28"/>
              </w:rPr>
              <w:t>проблематизации</w:t>
            </w:r>
            <w:proofErr w:type="spellEnd"/>
          </w:p>
        </w:tc>
        <w:tc>
          <w:tcPr>
            <w:tcW w:w="11057" w:type="dxa"/>
          </w:tcPr>
          <w:p w:rsidR="00A30021" w:rsidRDefault="00A30021" w:rsidP="00A30021">
            <w:pPr>
              <w:pStyle w:val="1"/>
              <w:widowControl/>
              <w:numPr>
                <w:ilvl w:val="0"/>
                <w:numId w:val="3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наличие конструктивного конфликта (представленность разных точек зрения, разных взглядов, позиций относительно темы урока);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четкость обозначения обучающимися границы своего «знания» - «незнания»;</w:t>
            </w:r>
          </w:p>
          <w:p w:rsidR="00A30021" w:rsidRPr="0021189E" w:rsidRDefault="00A30021" w:rsidP="00A30021">
            <w:pPr>
              <w:pStyle w:val="1"/>
              <w:widowControl/>
              <w:numPr>
                <w:ilvl w:val="0"/>
                <w:numId w:val="5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активность ученической позиции.</w:t>
            </w:r>
          </w:p>
        </w:tc>
        <w:tc>
          <w:tcPr>
            <w:tcW w:w="1271" w:type="dxa"/>
          </w:tcPr>
          <w:p w:rsidR="00A30021" w:rsidRDefault="00A30021" w:rsidP="00221787">
            <w:pPr>
              <w:pStyle w:val="1"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jc w:val="center"/>
              <w:rPr>
                <w:sz w:val="28"/>
              </w:rPr>
            </w:pPr>
          </w:p>
          <w:p w:rsidR="00A30021" w:rsidRDefault="00A30021" w:rsidP="00A30021">
            <w:pPr>
              <w:pStyle w:val="1"/>
              <w:rPr>
                <w:sz w:val="28"/>
              </w:rPr>
            </w:pPr>
            <w:r>
              <w:rPr>
                <w:sz w:val="28"/>
              </w:rPr>
              <w:t>10бал.</w:t>
            </w:r>
          </w:p>
        </w:tc>
      </w:tr>
      <w:tr w:rsidR="00A30021" w:rsidTr="00A30021">
        <w:trPr>
          <w:trHeight w:val="1980"/>
          <w:jc w:val="center"/>
        </w:trPr>
        <w:tc>
          <w:tcPr>
            <w:tcW w:w="2601" w:type="dxa"/>
          </w:tcPr>
          <w:p w:rsidR="00A30021" w:rsidRPr="0021189E" w:rsidRDefault="00A30021" w:rsidP="00A30021">
            <w:pPr>
              <w:pStyle w:val="1"/>
              <w:numPr>
                <w:ilvl w:val="0"/>
                <w:numId w:val="1"/>
              </w:numPr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Этап целеполагания и планирования</w:t>
            </w:r>
          </w:p>
        </w:tc>
        <w:tc>
          <w:tcPr>
            <w:tcW w:w="11057" w:type="dxa"/>
          </w:tcPr>
          <w:p w:rsidR="00A30021" w:rsidRDefault="00A30021" w:rsidP="00A30021">
            <w:pPr>
              <w:pStyle w:val="1"/>
              <w:widowControl/>
              <w:numPr>
                <w:ilvl w:val="0"/>
                <w:numId w:val="5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21189E">
              <w:rPr>
                <w:sz w:val="28"/>
              </w:rPr>
              <w:t xml:space="preserve">нициативность </w:t>
            </w:r>
            <w:proofErr w:type="gramStart"/>
            <w:r w:rsidRPr="0021189E">
              <w:rPr>
                <w:sz w:val="28"/>
              </w:rPr>
              <w:t>обучающихся</w:t>
            </w:r>
            <w:proofErr w:type="gramEnd"/>
            <w:r w:rsidRPr="0021189E">
              <w:rPr>
                <w:sz w:val="28"/>
              </w:rPr>
              <w:t xml:space="preserve"> в форм</w:t>
            </w:r>
            <w:r>
              <w:rPr>
                <w:sz w:val="28"/>
              </w:rPr>
              <w:t>ул</w:t>
            </w:r>
            <w:r w:rsidRPr="0021189E">
              <w:rPr>
                <w:sz w:val="28"/>
              </w:rPr>
              <w:t>ировани</w:t>
            </w:r>
            <w:r>
              <w:rPr>
                <w:sz w:val="28"/>
              </w:rPr>
              <w:t>и цели предстоящей деятельности (постановка учебной задачи);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5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четкость построения ориентировочной основы деятельности участников учебно-воспитательного процесса (план урока);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5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наличие прогностической модели ожидаемого результата урока</w:t>
            </w:r>
          </w:p>
          <w:p w:rsidR="00A30021" w:rsidRPr="0021189E" w:rsidRDefault="00A30021" w:rsidP="00A30021">
            <w:pPr>
              <w:pStyle w:val="1"/>
              <w:widowControl/>
              <w:numPr>
                <w:ilvl w:val="0"/>
                <w:numId w:val="5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партнерство как ведущий способ взаимодействия участников УВП.</w:t>
            </w:r>
          </w:p>
        </w:tc>
        <w:tc>
          <w:tcPr>
            <w:tcW w:w="1271" w:type="dxa"/>
          </w:tcPr>
          <w:p w:rsidR="00A30021" w:rsidRDefault="00A30021" w:rsidP="00221787">
            <w:pPr>
              <w:pStyle w:val="1"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10бал.</w:t>
            </w:r>
          </w:p>
        </w:tc>
      </w:tr>
      <w:tr w:rsidR="00A30021" w:rsidTr="00A30021">
        <w:trPr>
          <w:jc w:val="center"/>
        </w:trPr>
        <w:tc>
          <w:tcPr>
            <w:tcW w:w="2601" w:type="dxa"/>
          </w:tcPr>
          <w:p w:rsidR="00A30021" w:rsidRDefault="00A30021" w:rsidP="00221787">
            <w:pPr>
              <w:pStyle w:val="1"/>
              <w:widowControl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4. </w:t>
            </w:r>
            <w:r w:rsidRPr="0021189E">
              <w:rPr>
                <w:b/>
                <w:sz w:val="28"/>
              </w:rPr>
              <w:t>Этап концептуализации</w:t>
            </w:r>
          </w:p>
        </w:tc>
        <w:tc>
          <w:tcPr>
            <w:tcW w:w="11057" w:type="dxa"/>
          </w:tcPr>
          <w:p w:rsidR="00A30021" w:rsidRPr="0021189E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наличие анализа </w:t>
            </w:r>
            <w:r w:rsidRPr="0021189E">
              <w:rPr>
                <w:bCs/>
                <w:sz w:val="28"/>
              </w:rPr>
              <w:t xml:space="preserve">реального контекста существования </w:t>
            </w:r>
            <w:r>
              <w:rPr>
                <w:bCs/>
                <w:sz w:val="28"/>
              </w:rPr>
              <w:t>изучаемого объекта урока</w:t>
            </w:r>
            <w:r w:rsidRPr="0021189E">
              <w:rPr>
                <w:bCs/>
                <w:sz w:val="28"/>
              </w:rPr>
              <w:t xml:space="preserve">и </w:t>
            </w:r>
            <w:r>
              <w:rPr>
                <w:bCs/>
                <w:sz w:val="28"/>
              </w:rPr>
              <w:t xml:space="preserve">его </w:t>
            </w:r>
            <w:r w:rsidRPr="0021189E">
              <w:rPr>
                <w:bCs/>
                <w:sz w:val="28"/>
              </w:rPr>
              <w:t>проявлени</w:t>
            </w:r>
            <w:r>
              <w:rPr>
                <w:bCs/>
                <w:sz w:val="28"/>
              </w:rPr>
              <w:t>й</w:t>
            </w:r>
            <w:r w:rsidRPr="0021189E">
              <w:rPr>
                <w:bCs/>
                <w:sz w:val="28"/>
              </w:rPr>
              <w:t xml:space="preserve"> в окружающем мире</w:t>
            </w:r>
          </w:p>
          <w:p w:rsidR="00A30021" w:rsidRPr="0021189E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организация коллективно-распределительной деятельности в малых группах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способность вести дискуссию на разных уровнях</w:t>
            </w:r>
          </w:p>
          <w:p w:rsidR="00A30021" w:rsidRPr="00A254FA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умение аргументировать, выдвигать гипотезы, ставить вопросы на понимание</w:t>
            </w:r>
          </w:p>
        </w:tc>
        <w:tc>
          <w:tcPr>
            <w:tcW w:w="1271" w:type="dxa"/>
          </w:tcPr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rPr>
                <w:sz w:val="28"/>
              </w:rPr>
            </w:pPr>
            <w:r>
              <w:rPr>
                <w:sz w:val="28"/>
              </w:rPr>
              <w:t>10 бал.</w:t>
            </w:r>
          </w:p>
        </w:tc>
      </w:tr>
      <w:tr w:rsidR="00A30021" w:rsidTr="00A30021">
        <w:trPr>
          <w:jc w:val="center"/>
        </w:trPr>
        <w:tc>
          <w:tcPr>
            <w:tcW w:w="2601" w:type="dxa"/>
          </w:tcPr>
          <w:p w:rsidR="00A30021" w:rsidRPr="00B903B5" w:rsidRDefault="00A30021" w:rsidP="00221787">
            <w:pPr>
              <w:pStyle w:val="1"/>
              <w:widowControl/>
              <w:rPr>
                <w:b/>
                <w:sz w:val="28"/>
              </w:rPr>
            </w:pPr>
            <w:r w:rsidRPr="00B903B5">
              <w:rPr>
                <w:b/>
                <w:sz w:val="28"/>
              </w:rPr>
              <w:t>5. Этап моделирования</w:t>
            </w:r>
          </w:p>
        </w:tc>
        <w:tc>
          <w:tcPr>
            <w:tcW w:w="11057" w:type="dxa"/>
          </w:tcPr>
          <w:p w:rsidR="00A30021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обоснованность выбора модели для фиксации найденных существенных характеристик объекта урока;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понимание учащимися смысла созданной модели как ООД решения определенного класса учебных задач;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полнота преобразования модели и четкость формулирования объективных закономерностей, характеризующих способы решения учебно-познавательных и учебно-практических задач, связанных с объектом урока.</w:t>
            </w:r>
          </w:p>
        </w:tc>
        <w:tc>
          <w:tcPr>
            <w:tcW w:w="1271" w:type="dxa"/>
          </w:tcPr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10бал.</w:t>
            </w: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</w:tc>
      </w:tr>
      <w:tr w:rsidR="00A30021" w:rsidTr="00A30021">
        <w:trPr>
          <w:jc w:val="center"/>
        </w:trPr>
        <w:tc>
          <w:tcPr>
            <w:tcW w:w="2601" w:type="dxa"/>
          </w:tcPr>
          <w:p w:rsidR="00A30021" w:rsidRPr="00B903B5" w:rsidRDefault="00A30021" w:rsidP="00221787">
            <w:pPr>
              <w:pStyle w:val="1"/>
              <w:widowControl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 Этап конструирования</w:t>
            </w:r>
          </w:p>
        </w:tc>
        <w:tc>
          <w:tcPr>
            <w:tcW w:w="11057" w:type="dxa"/>
          </w:tcPr>
          <w:p w:rsidR="00A30021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полнота охвата построенной системы конкретно-практических задач границ применимости сформулированной объективной закономерности;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«интересность» заданий, наличие «ловушек» и приемов «провокаций» для объективации открытого на предыдущем этапе способа решения учебно-познавательных и учебно-практических задач по теме;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6"/>
              </w:numPr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многоуровневость</w:t>
            </w:r>
            <w:proofErr w:type="spellEnd"/>
            <w:r>
              <w:rPr>
                <w:sz w:val="28"/>
              </w:rPr>
              <w:t xml:space="preserve"> взаимодействия: «ученик-ученик», «ученик-учитель», «ученик-группа»</w:t>
            </w:r>
          </w:p>
        </w:tc>
        <w:tc>
          <w:tcPr>
            <w:tcW w:w="1271" w:type="dxa"/>
          </w:tcPr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10бал.</w:t>
            </w:r>
          </w:p>
        </w:tc>
      </w:tr>
      <w:tr w:rsidR="00A30021" w:rsidTr="00A30021">
        <w:trPr>
          <w:jc w:val="center"/>
        </w:trPr>
        <w:tc>
          <w:tcPr>
            <w:tcW w:w="2601" w:type="dxa"/>
          </w:tcPr>
          <w:p w:rsidR="00A30021" w:rsidRPr="00173513" w:rsidRDefault="00A30021" w:rsidP="00221787">
            <w:pPr>
              <w:pStyle w:val="1"/>
              <w:widowControl/>
              <w:rPr>
                <w:b/>
                <w:sz w:val="28"/>
              </w:rPr>
            </w:pPr>
            <w:r w:rsidRPr="00173513">
              <w:rPr>
                <w:b/>
                <w:sz w:val="28"/>
              </w:rPr>
              <w:t>7. Этап рефлексии</w:t>
            </w:r>
          </w:p>
        </w:tc>
        <w:tc>
          <w:tcPr>
            <w:tcW w:w="11057" w:type="dxa"/>
          </w:tcPr>
          <w:p w:rsidR="00A30021" w:rsidRDefault="00A30021" w:rsidP="00A30021">
            <w:pPr>
              <w:pStyle w:val="1"/>
              <w:widowControl/>
              <w:numPr>
                <w:ilvl w:val="0"/>
                <w:numId w:val="7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целесообразность выбранного способа контроля;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7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уровень самостоятельности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в контроле хода решения учебной задачи урока;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7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понимание </w:t>
            </w:r>
            <w:proofErr w:type="spellStart"/>
            <w:r>
              <w:rPr>
                <w:sz w:val="28"/>
              </w:rPr>
              <w:t>обучающимисякритериальной</w:t>
            </w:r>
            <w:proofErr w:type="spellEnd"/>
            <w:r>
              <w:rPr>
                <w:sz w:val="28"/>
              </w:rPr>
              <w:t xml:space="preserve"> базы оценки личностных,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 xml:space="preserve"> и предметных результатов урока;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8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наличие потребности у учащихся в оценке своих действий;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8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наличие самооценки, степень самостоятельности учащихся в оценивании качества своей учебной работы;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8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учет позиций обучающихся и понимание субкультуры класса;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8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системность и цикличность организации действия оценки;</w:t>
            </w:r>
          </w:p>
          <w:p w:rsidR="00A30021" w:rsidRDefault="00A30021" w:rsidP="00A30021">
            <w:pPr>
              <w:pStyle w:val="1"/>
              <w:widowControl/>
              <w:numPr>
                <w:ilvl w:val="0"/>
                <w:numId w:val="8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вариативность средств и форм оценивания</w:t>
            </w:r>
          </w:p>
        </w:tc>
        <w:tc>
          <w:tcPr>
            <w:tcW w:w="1271" w:type="dxa"/>
          </w:tcPr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</w:p>
          <w:p w:rsidR="00A30021" w:rsidRDefault="00A30021" w:rsidP="00221787">
            <w:pPr>
              <w:pStyle w:val="1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 бал.</w:t>
            </w:r>
          </w:p>
        </w:tc>
      </w:tr>
    </w:tbl>
    <w:p w:rsidR="00A30021" w:rsidRDefault="00A30021" w:rsidP="00A30021">
      <w:pPr>
        <w:pStyle w:val="a3"/>
        <w:spacing w:after="0"/>
        <w:ind w:left="720"/>
        <w:jc w:val="both"/>
        <w:rPr>
          <w:b/>
          <w:i/>
        </w:rPr>
      </w:pPr>
    </w:p>
    <w:p w:rsidR="00A30021" w:rsidRPr="00173513" w:rsidRDefault="00A30021" w:rsidP="00A3002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3513">
        <w:rPr>
          <w:sz w:val="28"/>
          <w:szCs w:val="28"/>
        </w:rPr>
        <w:t xml:space="preserve">5- </w:t>
      </w:r>
      <w:r>
        <w:rPr>
          <w:sz w:val="28"/>
          <w:szCs w:val="28"/>
        </w:rPr>
        <w:t>45</w:t>
      </w:r>
      <w:r w:rsidRPr="00173513">
        <w:rPr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–урок ориентирован на предметный результат, личностные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появляются случайным образом</w:t>
      </w:r>
      <w:r w:rsidRPr="00173513">
        <w:rPr>
          <w:sz w:val="28"/>
          <w:szCs w:val="28"/>
        </w:rPr>
        <w:t>.</w:t>
      </w:r>
    </w:p>
    <w:p w:rsidR="00A30021" w:rsidRDefault="00A30021" w:rsidP="00A3002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173513">
        <w:rPr>
          <w:sz w:val="28"/>
          <w:szCs w:val="28"/>
        </w:rPr>
        <w:t>-</w:t>
      </w:r>
      <w:r>
        <w:rPr>
          <w:sz w:val="28"/>
          <w:szCs w:val="28"/>
        </w:rPr>
        <w:t>60</w:t>
      </w:r>
      <w:r w:rsidRPr="00173513">
        <w:rPr>
          <w:sz w:val="28"/>
          <w:szCs w:val="28"/>
        </w:rPr>
        <w:t xml:space="preserve"> баллов </w:t>
      </w:r>
      <w:r>
        <w:rPr>
          <w:sz w:val="28"/>
          <w:szCs w:val="28"/>
        </w:rPr>
        <w:t>– урок ориентирован на комплексное достижение результатов образования требуемых ФГОС</w:t>
      </w:r>
      <w:r w:rsidRPr="00173513">
        <w:rPr>
          <w:sz w:val="28"/>
          <w:szCs w:val="28"/>
        </w:rPr>
        <w:t>.</w:t>
      </w:r>
    </w:p>
    <w:p w:rsidR="00A30021" w:rsidRPr="00173513" w:rsidRDefault="00A30021" w:rsidP="00A3002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173513">
        <w:rPr>
          <w:sz w:val="28"/>
          <w:szCs w:val="28"/>
        </w:rPr>
        <w:t xml:space="preserve">- </w:t>
      </w:r>
      <w:r>
        <w:rPr>
          <w:sz w:val="28"/>
          <w:szCs w:val="28"/>
        </w:rPr>
        <w:t>7</w:t>
      </w:r>
      <w:r w:rsidRPr="00173513">
        <w:rPr>
          <w:sz w:val="28"/>
          <w:szCs w:val="28"/>
        </w:rPr>
        <w:t xml:space="preserve">0 баллов - </w:t>
      </w:r>
      <w:r>
        <w:rPr>
          <w:sz w:val="28"/>
          <w:szCs w:val="28"/>
        </w:rPr>
        <w:t>урок ориентирован на комплексное достижение результатов образования требуемых ФГОС</w:t>
      </w:r>
      <w:r w:rsidRPr="00173513">
        <w:rPr>
          <w:sz w:val="28"/>
          <w:szCs w:val="28"/>
        </w:rPr>
        <w:t>, и учитель использ</w:t>
      </w:r>
      <w:r>
        <w:rPr>
          <w:sz w:val="28"/>
          <w:szCs w:val="28"/>
        </w:rPr>
        <w:t xml:space="preserve">ует </w:t>
      </w:r>
      <w:r w:rsidRPr="00173513">
        <w:rPr>
          <w:sz w:val="28"/>
          <w:szCs w:val="28"/>
        </w:rPr>
        <w:t xml:space="preserve">интересные методические приемы </w:t>
      </w:r>
      <w:r>
        <w:rPr>
          <w:sz w:val="28"/>
          <w:szCs w:val="28"/>
        </w:rPr>
        <w:t>формирования УУД.</w:t>
      </w:r>
    </w:p>
    <w:p w:rsidR="00A30021" w:rsidRPr="00724125" w:rsidRDefault="00A30021" w:rsidP="00A30021">
      <w:pPr>
        <w:ind w:firstLine="709"/>
        <w:jc w:val="both"/>
        <w:rPr>
          <w:sz w:val="28"/>
          <w:szCs w:val="28"/>
        </w:rPr>
      </w:pPr>
    </w:p>
    <w:p w:rsidR="00AC38FD" w:rsidRDefault="00AC38FD"/>
    <w:sectPr w:rsidR="00AC38FD" w:rsidSect="00A30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F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354CA"/>
    <w:multiLevelType w:val="hybridMultilevel"/>
    <w:tmpl w:val="F9AC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4E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1C5064"/>
    <w:multiLevelType w:val="multilevel"/>
    <w:tmpl w:val="5F965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83666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C61E3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A4524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6D7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D975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30021"/>
    <w:rsid w:val="009954EA"/>
    <w:rsid w:val="00A30021"/>
    <w:rsid w:val="00AC38FD"/>
    <w:rsid w:val="00D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2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00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30021"/>
    <w:rPr>
      <w:rFonts w:eastAsia="Times New Roman"/>
      <w:lang w:eastAsia="ru-RU"/>
    </w:rPr>
  </w:style>
  <w:style w:type="paragraph" w:customStyle="1" w:styleId="1">
    <w:name w:val="Обычный1"/>
    <w:rsid w:val="00A30021"/>
    <w:pPr>
      <w:widowControl w:val="0"/>
    </w:pPr>
    <w:rPr>
      <w:rFonts w:eastAsia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2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00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30021"/>
    <w:rPr>
      <w:rFonts w:eastAsia="Times New Roman"/>
      <w:lang w:eastAsia="ru-RU"/>
    </w:rPr>
  </w:style>
  <w:style w:type="paragraph" w:customStyle="1" w:styleId="Normal">
    <w:name w:val="Normal"/>
    <w:rsid w:val="00A30021"/>
    <w:pPr>
      <w:widowControl w:val="0"/>
    </w:pPr>
    <w:rPr>
      <w:rFonts w:eastAsia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www.licey21.ru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Сидорова</dc:creator>
  <cp:keywords/>
  <dc:description/>
  <cp:lastModifiedBy>User</cp:lastModifiedBy>
  <cp:revision>3</cp:revision>
  <cp:lastPrinted>2012-03-14T08:49:00Z</cp:lastPrinted>
  <dcterms:created xsi:type="dcterms:W3CDTF">2012-03-14T08:44:00Z</dcterms:created>
  <dcterms:modified xsi:type="dcterms:W3CDTF">2018-04-29T03:46:00Z</dcterms:modified>
</cp:coreProperties>
</file>